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A0" w:rsidRDefault="00CB0AA0" w:rsidP="00CB0AA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71E">
        <w:rPr>
          <w:rFonts w:ascii="Times New Roman" w:hAnsi="Times New Roman" w:cs="Times New Roman"/>
          <w:sz w:val="28"/>
          <w:szCs w:val="28"/>
        </w:rPr>
        <w:t>Контрольные вопросы к теме «</w:t>
      </w:r>
      <w:r w:rsidRPr="00CB0AA0">
        <w:rPr>
          <w:rFonts w:ascii="Times New Roman" w:hAnsi="Times New Roman" w:cs="Times New Roman"/>
          <w:sz w:val="28"/>
          <w:szCs w:val="28"/>
        </w:rPr>
        <w:t>Виды</w:t>
      </w:r>
      <w:r w:rsidRPr="00BD271E">
        <w:rPr>
          <w:rFonts w:ascii="Times New Roman" w:hAnsi="Times New Roman" w:cs="Times New Roman"/>
          <w:sz w:val="28"/>
          <w:szCs w:val="28"/>
        </w:rPr>
        <w:t>».</w:t>
      </w:r>
    </w:p>
    <w:p w:rsidR="00CB0AA0" w:rsidRDefault="00CB0AA0" w:rsidP="00CB0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опроса - «лото».</w:t>
      </w:r>
    </w:p>
    <w:p w:rsidR="00CB0AA0" w:rsidRDefault="00CB0AA0" w:rsidP="00CB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CB0AA0" w:rsidRDefault="00CB0AA0" w:rsidP="00CB0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A0" w:rsidRDefault="00CB0AA0" w:rsidP="00CB0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написаны на карточках. Карточки лежат на столе вопросами вниз. На каждой карточке написан номер вопроса и указано количество баллов за правильный ответ. Учащийся берёт одну карточку. Читает вопрос и отвечает на него. Такая форма опроса может использоваться для повышения отметки, которую учащийся получил за практическую работу по данной теме программы или для получения дополнительной отметки,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ссумировав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баллы за несколько правильных ответов.</w:t>
      </w: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3686"/>
        <w:gridCol w:w="3688"/>
        <w:gridCol w:w="3683"/>
      </w:tblGrid>
      <w:tr w:rsidR="00CB0AA0" w:rsidTr="00CB0AA0">
        <w:tc>
          <w:tcPr>
            <w:tcW w:w="3686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Каким методом строятся изображения предметов?</w:t>
            </w:r>
          </w:p>
          <w:p w:rsidR="009D0EAD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AD" w:rsidRPr="00CB0AA0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688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Какие изображения используются при выполнении чертежа?</w:t>
            </w:r>
          </w:p>
          <w:p w:rsidR="009D0EAD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AD" w:rsidRPr="00CB0AA0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683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Какое изображение называется видом?</w:t>
            </w:r>
            <w:r w:rsidR="009D0EAD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Перечислите основные виды. </w:t>
            </w:r>
          </w:p>
          <w:p w:rsidR="009D0EAD" w:rsidRPr="009D0EAD" w:rsidRDefault="009D0EAD" w:rsidP="009D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D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B0AA0" w:rsidTr="00CB0AA0">
        <w:tc>
          <w:tcPr>
            <w:tcW w:w="3686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 располагаются на чертеже основные виды?</w:t>
            </w:r>
          </w:p>
          <w:p w:rsidR="009D0EAD" w:rsidRPr="00CB0AA0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688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 обозначаются виды?</w:t>
            </w:r>
          </w:p>
          <w:p w:rsidR="009D0EAD" w:rsidRDefault="009D0EAD" w:rsidP="009D0EA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EAD" w:rsidRPr="009D0EAD" w:rsidRDefault="009D0EAD" w:rsidP="009D0EA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D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3683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Какие виды называются дополнительными?</w:t>
            </w:r>
          </w:p>
          <w:p w:rsidR="009D0EAD" w:rsidRPr="00CB0AA0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B0AA0" w:rsidTr="00CB0AA0">
        <w:tc>
          <w:tcPr>
            <w:tcW w:w="3686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Какие виды называются местными?</w:t>
            </w:r>
          </w:p>
          <w:p w:rsidR="009D0EAD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AD" w:rsidRPr="00CB0AA0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688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Как располагают и обозначают местные и дополнительные виды на чертеже?</w:t>
            </w:r>
          </w:p>
          <w:p w:rsidR="009D0EAD" w:rsidRPr="00CB0AA0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3683" w:type="dxa"/>
          </w:tcPr>
          <w:p w:rsidR="00CB0AA0" w:rsidRPr="009D0EAD" w:rsidRDefault="00CB0AA0" w:rsidP="00CB0A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A0">
              <w:rPr>
                <w:rFonts w:ascii="Times New Roman" w:hAnsi="Times New Roman" w:cs="Times New Roman"/>
                <w:sz w:val="28"/>
                <w:szCs w:val="28"/>
              </w:rPr>
              <w:t>Назовите отличие между дополнительным и местным видом.</w:t>
            </w:r>
          </w:p>
          <w:p w:rsidR="009D0EAD" w:rsidRPr="00CB0AA0" w:rsidRDefault="009D0EAD" w:rsidP="009D0E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CB0AA0" w:rsidRDefault="00CB0AA0" w:rsidP="00CB0A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A0" w:rsidRDefault="00CB0AA0" w:rsidP="00CB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и количество баллов за правильный ответ.</w:t>
      </w:r>
    </w:p>
    <w:p w:rsidR="00CB0AA0" w:rsidRDefault="00CB0AA0" w:rsidP="00CB0A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EAD" w:rsidRPr="009D0EAD" w:rsidRDefault="009D0EAD" w:rsidP="00CB0A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CB0AA0" w:rsidRPr="00ED2B5F" w:rsidRDefault="00CB0AA0" w:rsidP="009D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построения </w:t>
      </w:r>
      <w:r w:rsidRPr="00A540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изображений</w:t>
      </w:r>
      <w:r w:rsidRPr="00A54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(проекций) </w:t>
      </w:r>
      <w:r w:rsidRPr="00A540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предметов</w:t>
      </w:r>
      <w:r w:rsidRPr="00A54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плоскости применяют </w:t>
      </w:r>
      <w:r w:rsidRPr="00A540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</w:t>
      </w:r>
      <w:r w:rsidRPr="00A540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A540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параллельного прямоугольного </w:t>
      </w:r>
      <w:r w:rsidRPr="00A540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проецирования</w:t>
      </w:r>
      <w:r w:rsidRPr="00A54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Получающиеся при этом чертежи называются проекционными. При выполнении чертежей технических форм используют ортогональное проецирование. Сущность </w:t>
      </w:r>
      <w:r w:rsidRPr="00A540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способа</w:t>
      </w:r>
      <w:r w:rsidRPr="00A54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заключается в том, что через каждую точку геометрической фигуры проводится проецирующая прямая перпендикулярно к плоскости проекций и точка пересечения ее с этой плоскостью принимается за ортогональную проекцию точки.</w:t>
      </w:r>
    </w:p>
    <w:p w:rsidR="009D0EAD" w:rsidRPr="009D0EAD" w:rsidRDefault="009D0EAD" w:rsidP="00CB0A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ED2B5F" w:rsidRPr="00ED2B5F" w:rsidRDefault="00ED2B5F" w:rsidP="009D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ED2B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2B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выполнении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2B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чертежей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2B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используют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виды. 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D0EAD" w:rsidRPr="009D0EAD" w:rsidRDefault="009D0EAD" w:rsidP="00537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537B05" w:rsidRPr="00537B05" w:rsidRDefault="00ED2B5F" w:rsidP="009D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Видом называется изображение видимой стороны предмета. </w:t>
      </w:r>
      <w:r w:rsidR="00537B05"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Стандарт ГОСТ 2.305-68 ЕСКД</w:t>
      </w:r>
      <w:r w:rsid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устанавливает </w:t>
      </w:r>
      <w:r w:rsid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сновных видов: вид спереди (главный вид), вид сверху, вид слева, вид справа, вид снизу, вид сзади. Обычно используют 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три вида: вид спереди (главный вид), вид сверху и вид слева.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оличество видов на </w:t>
      </w:r>
      <w:r w:rsidRPr="00ED2B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чертеже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должно быть </w:t>
      </w:r>
      <w:r w:rsidR="00F65E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минимальным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</w:t>
      </w:r>
      <w:r w:rsidR="00F65E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достаточным, чтобы 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</w:t>
      </w:r>
      <w:r w:rsidR="00F65E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полное и однозначное</w:t>
      </w:r>
      <w:r w:rsidR="00F65E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представление об изображённом предмете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D0EAD" w:rsidRPr="009D0EAD" w:rsidRDefault="009D0EAD" w:rsidP="00537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537B05" w:rsidRPr="002D15AE" w:rsidRDefault="00537B05" w:rsidP="009D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Названия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видов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зависят от того, с какой стороны рассматривают предмет при проецировании.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спереди (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главный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—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располагается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фронтальной плоскости проекций. 2.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сверху — на горизонтальной плоскости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проекций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3.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слева 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профильной плоскости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проекций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справа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537B05">
        <w:rPr>
          <w:rFonts w:ascii="Times New Roman" w:hAnsi="Times New Roman" w:cs="Times New Roman"/>
          <w:spacing w:val="8"/>
          <w:sz w:val="28"/>
          <w:szCs w:val="28"/>
        </w:rPr>
        <w:t>аходится с левой стороны главного вида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5.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снизу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537B05">
        <w:rPr>
          <w:rFonts w:ascii="Times New Roman" w:hAnsi="Times New Roman" w:cs="Times New Roman"/>
          <w:spacing w:val="8"/>
          <w:sz w:val="28"/>
          <w:szCs w:val="28"/>
        </w:rPr>
        <w:t>азмещается над главным видом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6. </w:t>
      </w:r>
      <w:r w:rsidRPr="00537B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сзади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537B05">
        <w:rPr>
          <w:rFonts w:ascii="Times New Roman" w:hAnsi="Times New Roman" w:cs="Times New Roman"/>
          <w:spacing w:val="8"/>
          <w:sz w:val="28"/>
          <w:szCs w:val="28"/>
        </w:rPr>
        <w:t>аходится с правой стороны от вида слева</w:t>
      </w: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D15AE" w:rsidRPr="00537B05" w:rsidRDefault="002D15AE" w:rsidP="002D1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3D7CDE" wp14:editId="11EC2D1D">
            <wp:extent cx="5143500" cy="4000500"/>
            <wp:effectExtent l="0" t="0" r="0" b="0"/>
            <wp:docPr id="1" name="Рисунок 1" descr="Как чертить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чертить ви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F6" w:rsidRPr="00FB77F6" w:rsidRDefault="00FB77F6" w:rsidP="003F1F1E">
      <w:pPr>
        <w:pStyle w:val="a3"/>
        <w:numPr>
          <w:ilvl w:val="0"/>
          <w:numId w:val="2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F1E" w:rsidRPr="003F1F1E" w:rsidRDefault="002D15AE" w:rsidP="00FB77F6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 вынесенные из проекционной связи, всегда обозначают (рис. 1.27, см. рис. 1.25 и 1.26).</w:t>
      </w:r>
    </w:p>
    <w:p w:rsidR="002D15AE" w:rsidRPr="002D15AE" w:rsidRDefault="002D15AE" w:rsidP="002D15A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15AE" w:rsidRPr="002D15AE" w:rsidRDefault="002D15AE" w:rsidP="002D15A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noProof/>
          <w:lang w:eastAsia="ru-RU"/>
        </w:rPr>
        <w:lastRenderedPageBreak/>
        <w:drawing>
          <wp:inline distT="0" distB="0" distL="0" distR="0">
            <wp:extent cx="3476625" cy="2536055"/>
            <wp:effectExtent l="0" t="0" r="0" b="0"/>
            <wp:docPr id="3" name="Рисунок 3" descr="1-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94" cy="25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AE" w:rsidRPr="002D15AE" w:rsidRDefault="002D15AE" w:rsidP="003F1F1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D15AE" w:rsidRPr="002D15AE" w:rsidRDefault="002D15AE" w:rsidP="002D15AE">
      <w:pPr>
        <w:pStyle w:val="a3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Стрелки, указывающие направление взгляда наблюдателя, выполняются тонкими линиями. Соотношение размеров стрелки и возможные варианты ее оформления приведены на рис. 1.28.</w:t>
      </w:r>
    </w:p>
    <w:p w:rsidR="002D15AE" w:rsidRPr="002D15AE" w:rsidRDefault="002D15AE" w:rsidP="002D15A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15AE" w:rsidRPr="002D15AE" w:rsidRDefault="002D15AE" w:rsidP="002D15A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noProof/>
          <w:lang w:eastAsia="ru-RU"/>
        </w:rPr>
        <w:drawing>
          <wp:inline distT="0" distB="0" distL="0" distR="0">
            <wp:extent cx="5543550" cy="1496686"/>
            <wp:effectExtent l="0" t="0" r="0" b="8890"/>
            <wp:docPr id="2" name="Рисунок 2" descr="https://dgng.pstu.ru/sprav/1.3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gng.pstu.ru/sprav/1.3.files/image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67" cy="150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AE" w:rsidRPr="002D15AE" w:rsidRDefault="002D15AE" w:rsidP="003F1F1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2D15AE" w:rsidRPr="002D15AE" w:rsidRDefault="002D15AE" w:rsidP="002D15AE">
      <w:pPr>
        <w:pStyle w:val="a3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буквенного обозначения применяют прописные буквы русского алфавита. Буквенное обозначение видам присваивается в алфавитном порядке без повторений и пропусков (за исключением букв </w:t>
      </w:r>
      <w:proofErr w:type="gramStart"/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О, Х, Ъ, Ы, Ь). Буквы выполняются шрифтом высотой 7 или 10 мм.</w:t>
      </w:r>
    </w:p>
    <w:p w:rsidR="002D15AE" w:rsidRDefault="002D15AE" w:rsidP="002D15AE">
      <w:pPr>
        <w:pStyle w:val="a3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изображение повернуто, буквенное обозначение дополняется соответствующим знаком (рис. 1.29).</w:t>
      </w:r>
    </w:p>
    <w:p w:rsidR="009D0EAD" w:rsidRPr="009D0EAD" w:rsidRDefault="009D0EAD" w:rsidP="003F1F1E">
      <w:pPr>
        <w:pStyle w:val="a3"/>
        <w:numPr>
          <w:ilvl w:val="0"/>
          <w:numId w:val="2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балл.</w:t>
      </w:r>
    </w:p>
    <w:p w:rsidR="003F1F1E" w:rsidRPr="003F1F1E" w:rsidRDefault="003F1F1E" w:rsidP="009D0EAD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1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Дополнительным видом</w:t>
      </w:r>
      <w:r w:rsidRPr="003F1F1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3F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изображение, полученное проецированием предмета или его части на плоскость, не параллельную основным плоскостям проекций (рис. 1.25).</w:t>
      </w:r>
    </w:p>
    <w:p w:rsidR="00ED2B5F" w:rsidRDefault="003F1F1E" w:rsidP="003F1F1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1F1E">
        <w:rPr>
          <w:noProof/>
          <w:lang w:eastAsia="ru-RU"/>
        </w:rPr>
        <w:drawing>
          <wp:inline distT="0" distB="0" distL="0" distR="0">
            <wp:extent cx="5295900" cy="1981200"/>
            <wp:effectExtent l="0" t="0" r="0" b="0"/>
            <wp:docPr id="4" name="Рисунок 4" descr="1-30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302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AD" w:rsidRPr="009D0EAD" w:rsidRDefault="009D0EAD" w:rsidP="003F1F1E">
      <w:pPr>
        <w:pStyle w:val="a3"/>
        <w:numPr>
          <w:ilvl w:val="0"/>
          <w:numId w:val="2"/>
        </w:num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балл.</w:t>
      </w:r>
    </w:p>
    <w:p w:rsidR="003F1F1E" w:rsidRPr="003F1F1E" w:rsidRDefault="003F1F1E" w:rsidP="009D0EAD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 видом</w:t>
      </w:r>
      <w:r w:rsidRPr="003F1F1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3F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изображение отдельного, ограниченного места поверхности предмета (рис. 1.26).</w:t>
      </w:r>
    </w:p>
    <w:p w:rsidR="003F1F1E" w:rsidRPr="003F1F1E" w:rsidRDefault="003F1F1E" w:rsidP="003F1F1E">
      <w:pPr>
        <w:pStyle w:val="a3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1F1E">
        <w:rPr>
          <w:noProof/>
          <w:lang w:eastAsia="ru-RU"/>
        </w:rPr>
        <w:drawing>
          <wp:inline distT="0" distB="0" distL="0" distR="0">
            <wp:extent cx="4324350" cy="1800225"/>
            <wp:effectExtent l="0" t="0" r="0" b="9525"/>
            <wp:docPr id="5" name="Рисунок 5" descr="1-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AD" w:rsidRPr="009D0EAD" w:rsidRDefault="009D0EAD" w:rsidP="005B6366">
      <w:pPr>
        <w:pStyle w:val="a3"/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балла.</w:t>
      </w:r>
    </w:p>
    <w:p w:rsidR="003F1F1E" w:rsidRPr="005B6366" w:rsidRDefault="005B6366" w:rsidP="009D0EAD">
      <w:pPr>
        <w:pStyle w:val="a3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Местный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указывают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чертеже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и дополнительный.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случаях, когда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местные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виды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располагаются в непосредственной проекционной связи с изображением, допускается их не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обозначать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D0EAD" w:rsidRPr="009D0EAD" w:rsidRDefault="009D0EAD" w:rsidP="005B6366">
      <w:pPr>
        <w:pStyle w:val="a3"/>
        <w:numPr>
          <w:ilvl w:val="0"/>
          <w:numId w:val="2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балл.</w:t>
      </w:r>
    </w:p>
    <w:p w:rsidR="005B6366" w:rsidRPr="005B6366" w:rsidRDefault="005B6366" w:rsidP="009D0EAD">
      <w:pPr>
        <w:pStyle w:val="a3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Дополнительный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применяется в случае, если какую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либо часть предмета невозможно показать на основных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видах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без искажения формы или размеров, а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местный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6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</w:t>
      </w:r>
      <w:r w:rsidRPr="005B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применяется в том случае, когда нужно изобразить место предмета, ограниченное от взгляда.</w:t>
      </w:r>
    </w:p>
    <w:p w:rsidR="00ED2B5F" w:rsidRPr="00ED2B5F" w:rsidRDefault="00ED2B5F" w:rsidP="005B6366">
      <w:pPr>
        <w:rPr>
          <w:rFonts w:ascii="Times New Roman" w:hAnsi="Times New Roman" w:cs="Times New Roman"/>
          <w:sz w:val="28"/>
          <w:szCs w:val="28"/>
        </w:rPr>
      </w:pPr>
    </w:p>
    <w:sectPr w:rsidR="00ED2B5F" w:rsidRPr="00ED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65C87"/>
    <w:multiLevelType w:val="hybridMultilevel"/>
    <w:tmpl w:val="0BB0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8D1"/>
    <w:multiLevelType w:val="hybridMultilevel"/>
    <w:tmpl w:val="C062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53453"/>
    <w:multiLevelType w:val="hybridMultilevel"/>
    <w:tmpl w:val="06F43FF4"/>
    <w:lvl w:ilvl="0" w:tplc="F25C5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52"/>
    <w:rsid w:val="000C3E52"/>
    <w:rsid w:val="002D15AE"/>
    <w:rsid w:val="003F1F1E"/>
    <w:rsid w:val="00537B05"/>
    <w:rsid w:val="005B6366"/>
    <w:rsid w:val="009D0EAD"/>
    <w:rsid w:val="00A54082"/>
    <w:rsid w:val="00CB0AA0"/>
    <w:rsid w:val="00D55F99"/>
    <w:rsid w:val="00ED2B5F"/>
    <w:rsid w:val="00F65E29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E4D3-4C1A-4538-AEC9-0CDD01EC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A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CB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3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7B05"/>
    <w:rPr>
      <w:i/>
      <w:iCs/>
    </w:rPr>
  </w:style>
  <w:style w:type="character" w:styleId="a7">
    <w:name w:val="Strong"/>
    <w:basedOn w:val="a0"/>
    <w:uiPriority w:val="22"/>
    <w:qFormat/>
    <w:rsid w:val="00537B05"/>
    <w:rPr>
      <w:b/>
      <w:bCs/>
    </w:rPr>
  </w:style>
  <w:style w:type="character" w:customStyle="1" w:styleId="5">
    <w:name w:val="5"/>
    <w:basedOn w:val="a0"/>
    <w:rsid w:val="003F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5</cp:revision>
  <dcterms:created xsi:type="dcterms:W3CDTF">2022-05-18T15:04:00Z</dcterms:created>
  <dcterms:modified xsi:type="dcterms:W3CDTF">2022-06-11T09:39:00Z</dcterms:modified>
</cp:coreProperties>
</file>